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3BA5" w14:textId="77777777" w:rsidR="007B5E50" w:rsidRDefault="007B5E50" w:rsidP="007B5E50"/>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5E50" w:rsidRPr="003D4EA5" w14:paraId="4337D6E0" w14:textId="77777777" w:rsidTr="007B5E5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B5E50" w:rsidRPr="003D4EA5" w14:paraId="20DF2A5A" w14:textId="7777777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7B5E50" w:rsidRPr="003D4EA5" w14:paraId="7E14CD3E" w14:textId="77777777">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7B5E50" w:rsidRPr="003D4EA5" w14:paraId="32A2555F" w14:textId="77777777">
                          <w:tc>
                            <w:tcPr>
                              <w:tcW w:w="0" w:type="auto"/>
                              <w:tcMar>
                                <w:top w:w="300" w:type="dxa"/>
                                <w:left w:w="150" w:type="dxa"/>
                                <w:bottom w:w="0" w:type="dxa"/>
                                <w:right w:w="150" w:type="dxa"/>
                              </w:tcMar>
                              <w:vAlign w:val="center"/>
                              <w:hideMark/>
                            </w:tcPr>
                            <w:p w14:paraId="1C3129D2" w14:textId="7875D6FA" w:rsidR="007B5E50" w:rsidRDefault="007B5E50" w:rsidP="007B5E50">
                              <w:pPr>
                                <w:spacing w:after="0" w:line="240" w:lineRule="atLeast"/>
                                <w:ind w:firstLine="566"/>
                                <w:jc w:val="both"/>
                                <w:rPr>
                                  <w:rFonts w:ascii="Verdana" w:eastAsia="Times New Roman" w:hAnsi="Verdana" w:cs="Times New Roman"/>
                                  <w:color w:val="000000"/>
                                  <w:sz w:val="20"/>
                                  <w:szCs w:val="20"/>
                                  <w:u w:val="single"/>
                                  <w:lang w:eastAsia="tr-TR"/>
                                </w:rPr>
                              </w:pPr>
                              <w:r w:rsidRPr="003D4EA5">
                                <w:rPr>
                                  <w:rFonts w:ascii="Verdana" w:eastAsia="Times New Roman" w:hAnsi="Verdana" w:cs="Times New Roman"/>
                                  <w:color w:val="000000"/>
                                  <w:sz w:val="20"/>
                                  <w:szCs w:val="20"/>
                                  <w:u w:val="single"/>
                                  <w:lang w:eastAsia="tr-TR"/>
                                </w:rPr>
                                <w:t>Hazine ve Maliye Bakanlığı (Gelir İdaresi Başkanlığı)’</w:t>
                              </w:r>
                              <w:proofErr w:type="spellStart"/>
                              <w:r w:rsidRPr="003D4EA5">
                                <w:rPr>
                                  <w:rFonts w:ascii="Verdana" w:eastAsia="Times New Roman" w:hAnsi="Verdana" w:cs="Times New Roman"/>
                                  <w:color w:val="000000"/>
                                  <w:sz w:val="20"/>
                                  <w:szCs w:val="20"/>
                                  <w:u w:val="single"/>
                                  <w:lang w:eastAsia="tr-TR"/>
                                </w:rPr>
                                <w:t>ndan</w:t>
                              </w:r>
                              <w:proofErr w:type="spellEnd"/>
                              <w:r w:rsidRPr="003D4EA5">
                                <w:rPr>
                                  <w:rFonts w:ascii="Verdana" w:eastAsia="Times New Roman" w:hAnsi="Verdana" w:cs="Times New Roman"/>
                                  <w:color w:val="000000"/>
                                  <w:sz w:val="20"/>
                                  <w:szCs w:val="20"/>
                                  <w:u w:val="single"/>
                                  <w:lang w:eastAsia="tr-TR"/>
                                </w:rPr>
                                <w:t>:</w:t>
                              </w:r>
                            </w:p>
                            <w:p w14:paraId="5BC51D92" w14:textId="77777777" w:rsidR="00D92B3A" w:rsidRPr="003D4EA5" w:rsidRDefault="00D92B3A" w:rsidP="007B5E50">
                              <w:pPr>
                                <w:spacing w:after="0" w:line="240" w:lineRule="atLeast"/>
                                <w:ind w:firstLine="566"/>
                                <w:jc w:val="both"/>
                                <w:rPr>
                                  <w:rFonts w:ascii="Times New Roman" w:eastAsia="Times New Roman" w:hAnsi="Times New Roman" w:cs="Times New Roman"/>
                                  <w:color w:val="000000"/>
                                  <w:u w:val="single"/>
                                  <w:lang w:eastAsia="tr-TR"/>
                                </w:rPr>
                              </w:pPr>
                            </w:p>
                            <w:p w14:paraId="251E20F4" w14:textId="77777777" w:rsidR="007B5E50" w:rsidRPr="003D4EA5" w:rsidRDefault="007B5E50" w:rsidP="007B5E50">
                              <w:pPr>
                                <w:spacing w:before="56" w:after="0" w:line="240" w:lineRule="atLeast"/>
                                <w:jc w:val="center"/>
                                <w:rPr>
                                  <w:rFonts w:ascii="Times New Roman" w:eastAsia="Times New Roman" w:hAnsi="Times New Roman" w:cs="Times New Roman"/>
                                  <w:b/>
                                  <w:bCs/>
                                  <w:color w:val="000000"/>
                                  <w:sz w:val="19"/>
                                  <w:szCs w:val="19"/>
                                  <w:lang w:eastAsia="tr-TR"/>
                                </w:rPr>
                              </w:pPr>
                              <w:r w:rsidRPr="003D4EA5">
                                <w:rPr>
                                  <w:rFonts w:ascii="Verdana" w:eastAsia="Times New Roman" w:hAnsi="Verdana" w:cs="Times New Roman"/>
                                  <w:b/>
                                  <w:bCs/>
                                  <w:color w:val="000000"/>
                                  <w:sz w:val="20"/>
                                  <w:szCs w:val="20"/>
                                  <w:lang w:eastAsia="tr-TR"/>
                                </w:rPr>
                                <w:t>ÖZEL TÜKETİM VERGİSİ (II) SAYILI LİSTE UYGULAMA GENEL</w:t>
                              </w:r>
                            </w:p>
                            <w:p w14:paraId="0FE2E4F2" w14:textId="77777777" w:rsidR="007B5E50" w:rsidRPr="003D4EA5" w:rsidRDefault="007B5E50" w:rsidP="007B5E50">
                              <w:pPr>
                                <w:spacing w:after="0" w:line="240" w:lineRule="atLeast"/>
                                <w:jc w:val="center"/>
                                <w:rPr>
                                  <w:rFonts w:ascii="Times New Roman" w:eastAsia="Times New Roman" w:hAnsi="Times New Roman" w:cs="Times New Roman"/>
                                  <w:b/>
                                  <w:bCs/>
                                  <w:color w:val="000000"/>
                                  <w:sz w:val="19"/>
                                  <w:szCs w:val="19"/>
                                  <w:lang w:eastAsia="tr-TR"/>
                                </w:rPr>
                              </w:pPr>
                              <w:r w:rsidRPr="003D4EA5">
                                <w:rPr>
                                  <w:rFonts w:ascii="Verdana" w:eastAsia="Times New Roman" w:hAnsi="Verdana" w:cs="Times New Roman"/>
                                  <w:b/>
                                  <w:bCs/>
                                  <w:color w:val="000000"/>
                                  <w:sz w:val="20"/>
                                  <w:szCs w:val="20"/>
                                  <w:lang w:eastAsia="tr-TR"/>
                                </w:rPr>
                                <w:t>TEBLİĞİNDE DEĞİŞİKLİK YAPILMASINA DAİR</w:t>
                              </w:r>
                            </w:p>
                            <w:p w14:paraId="0E75C327" w14:textId="77777777" w:rsidR="007B5E50" w:rsidRPr="003D4EA5" w:rsidRDefault="007B5E50" w:rsidP="007B5E50">
                              <w:pPr>
                                <w:spacing w:after="170" w:line="240" w:lineRule="atLeast"/>
                                <w:jc w:val="center"/>
                                <w:rPr>
                                  <w:rFonts w:ascii="Times New Roman" w:eastAsia="Times New Roman" w:hAnsi="Times New Roman" w:cs="Times New Roman"/>
                                  <w:b/>
                                  <w:bCs/>
                                  <w:color w:val="000000"/>
                                  <w:sz w:val="19"/>
                                  <w:szCs w:val="19"/>
                                  <w:lang w:eastAsia="tr-TR"/>
                                </w:rPr>
                              </w:pPr>
                              <w:r w:rsidRPr="003D4EA5">
                                <w:rPr>
                                  <w:rFonts w:ascii="Verdana" w:eastAsia="Times New Roman" w:hAnsi="Verdana" w:cs="Times New Roman"/>
                                  <w:b/>
                                  <w:bCs/>
                                  <w:color w:val="000000"/>
                                  <w:sz w:val="20"/>
                                  <w:szCs w:val="20"/>
                                  <w:lang w:eastAsia="tr-TR"/>
                                </w:rPr>
                                <w:t>TEBLİĞ (SERİ NO: 10)</w:t>
                              </w:r>
                            </w:p>
                            <w:p w14:paraId="56CC5B3A"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b/>
                                  <w:bCs/>
                                  <w:color w:val="000000"/>
                                  <w:sz w:val="18"/>
                                  <w:szCs w:val="18"/>
                                  <w:lang w:eastAsia="tr-TR"/>
                                </w:rPr>
                                <w:t>MADDE 1-</w:t>
                              </w:r>
                              <w:r w:rsidRPr="003D4EA5">
                                <w:rPr>
                                  <w:rFonts w:ascii="Verdana" w:eastAsia="Times New Roman" w:hAnsi="Verdana" w:cs="Times New Roman"/>
                                  <w:color w:val="000000"/>
                                  <w:sz w:val="18"/>
                                  <w:szCs w:val="18"/>
                                  <w:lang w:eastAsia="tr-TR"/>
                                </w:rPr>
                                <w:t> 18/4/2015 tarihli ve 29330 sayılı Resmî Gazete’ de yayımlanan Özel Tüketim Vergisi (II) Sayılı Liste Uygulama Genel Tebliğinin (I/B/4) bölümünün üçüncü paragrafında yer alan “vergi dairesi müdürlüğünden/başkanlığından alınan yazının” ibaresi “vergi dairesi müdürlüğünden/başkanlığından alınan ‘Kayıt ve Tescile Tabi Taşıtların İthalatında ÖTV Aranmaksızın İşlem Tesisi İçin Motorlu Araç Ticareti İle İştigal Edildiğine Dair Belge’nin” olarak değiştirilmiş, dördüncü paragrafında yer alan “yer alan yazı” ibaresinden sonra gelmek üzere “en fazla iki yıl süreyle ve vize süresince geçerli olmak üzere” ibaresi eklenmiş ve aynı paragrafta yer alan “sanayi sicil belgesinin yenilenmesi veya değişikliği,” ibaresi “sanayi sicil belgesinin yenilenmesi, değişikliği veya vize edilmesi,” olarak değiştirilmiştir.</w:t>
                              </w:r>
                            </w:p>
                            <w:p w14:paraId="78D4926A"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b/>
                                  <w:bCs/>
                                  <w:color w:val="000000"/>
                                  <w:sz w:val="18"/>
                                  <w:szCs w:val="18"/>
                                  <w:lang w:eastAsia="tr-TR"/>
                                </w:rPr>
                                <w:t>MADDE 2- </w:t>
                              </w:r>
                              <w:r w:rsidRPr="003D4EA5">
                                <w:rPr>
                                  <w:rFonts w:ascii="Verdana" w:eastAsia="Times New Roman" w:hAnsi="Verdana" w:cs="Times New Roman"/>
                                  <w:color w:val="000000"/>
                                  <w:sz w:val="18"/>
                                  <w:szCs w:val="18"/>
                                  <w:lang w:eastAsia="tr-TR"/>
                                </w:rPr>
                                <w:t>Aynı Tebliğin (II/A/2) bölümünün birinci paragrafında yer alan “(2)” ibaresi “(3)” olarak değiştirilmiştir.</w:t>
                              </w:r>
                            </w:p>
                            <w:p w14:paraId="0E01DE41"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b/>
                                  <w:bCs/>
                                  <w:color w:val="000000"/>
                                  <w:sz w:val="18"/>
                                  <w:szCs w:val="18"/>
                                  <w:lang w:eastAsia="tr-TR"/>
                                </w:rPr>
                                <w:t>MADDE 3- </w:t>
                              </w:r>
                              <w:r w:rsidRPr="003D4EA5">
                                <w:rPr>
                                  <w:rFonts w:ascii="Verdana" w:eastAsia="Times New Roman" w:hAnsi="Verdana" w:cs="Times New Roman"/>
                                  <w:color w:val="000000"/>
                                  <w:sz w:val="18"/>
                                  <w:szCs w:val="18"/>
                                  <w:lang w:eastAsia="tr-TR"/>
                                </w:rPr>
                                <w:t>Aynı Tebliğin (III/A/3) bölümünün üçüncü paragrafına aşağıdaki cümle eklenmiştir.</w:t>
                              </w:r>
                            </w:p>
                            <w:p w14:paraId="78B80CE5" w14:textId="77777777" w:rsidR="007B5E50" w:rsidRPr="003D4EA5" w:rsidRDefault="007B5E50" w:rsidP="007B5E50">
                              <w:pPr>
                                <w:spacing w:after="0" w:line="240" w:lineRule="atLeast"/>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color w:val="000000"/>
                                  <w:sz w:val="20"/>
                                  <w:szCs w:val="20"/>
                                  <w:lang w:eastAsia="tr-TR"/>
                                </w:rPr>
                                <w:t>“Muvazaalı olmamak şartıyla, söz konusu teslim ve hizmetlerin ÖTV mükellefleri tarafından taşıtın teslimi veya ilk iktisabından sonra yapılması halinde, anılan işlemlere ilişkin bedellerin taşıtın ÖTV matrahına dâhil olmadığı tabiidir.”</w:t>
                              </w:r>
                            </w:p>
                            <w:p w14:paraId="47D3B09E"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b/>
                                  <w:bCs/>
                                  <w:color w:val="000000"/>
                                  <w:sz w:val="18"/>
                                  <w:szCs w:val="18"/>
                                  <w:lang w:eastAsia="tr-TR"/>
                                </w:rPr>
                                <w:t>MADDE 4- </w:t>
                              </w:r>
                              <w:r w:rsidRPr="003D4EA5">
                                <w:rPr>
                                  <w:rFonts w:ascii="Verdana" w:eastAsia="Times New Roman" w:hAnsi="Verdana" w:cs="Times New Roman"/>
                                  <w:color w:val="000000"/>
                                  <w:sz w:val="18"/>
                                  <w:szCs w:val="18"/>
                                  <w:lang w:eastAsia="tr-TR"/>
                                </w:rPr>
                                <w:t>Aynı Tebliğin (III/B/1) bölümünün üçüncü paragrafında yer alan “Bakanlar Kurulu” ibaresi “Cumhurbaşkanı” olarak, “bir” ibaresi “ve bu oranlara esas özel tüketim vergisi matrahlarının alt ve üst sınırlarını üç” olarak değiştirilmiş ve aynı paragrafta yer alan “sıfıra kadar indirmeye;” ibaresinden sonra gelmek üzere “bu sınırlar içinde kalmak şartıyla 87.03 GTİP numarasında yer alan mallar için farklı matrah grupları oluşturmaya, malların matrah grupları, motor gücü, cinsi, sınıfı, üst yapı gövde tanımı, emisyon türü ve değeri, istiap haddi ile yolcu ve yük taşıma kapasitesi itibarıyla farklı oranlar belirlemeye;”  ibaresi eklenmiştir.</w:t>
                              </w:r>
                            </w:p>
                            <w:p w14:paraId="1F2B67F4"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b/>
                                  <w:bCs/>
                                  <w:color w:val="000000"/>
                                  <w:sz w:val="18"/>
                                  <w:szCs w:val="18"/>
                                  <w:lang w:eastAsia="tr-TR"/>
                                </w:rPr>
                                <w:t>MADDE 5- </w:t>
                              </w:r>
                              <w:r w:rsidRPr="003D4EA5">
                                <w:rPr>
                                  <w:rFonts w:ascii="Verdana" w:eastAsia="Times New Roman" w:hAnsi="Verdana" w:cs="Times New Roman"/>
                                  <w:color w:val="000000"/>
                                  <w:sz w:val="18"/>
                                  <w:szCs w:val="18"/>
                                  <w:lang w:eastAsia="tr-TR"/>
                                </w:rPr>
                                <w:t>Aynı Tebliğe (III/B/2.8) bölümünden sonra gelmek üzere aşağıdaki bölüm eklenmiştir.</w:t>
                              </w:r>
                            </w:p>
                            <w:p w14:paraId="5F3FCB37"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color w:val="000000"/>
                                  <w:sz w:val="20"/>
                                  <w:szCs w:val="20"/>
                                  <w:lang w:eastAsia="tr-TR"/>
                                </w:rPr>
                                <w:t>“2.9. İtfaiye Öncü Aracı</w:t>
                              </w:r>
                            </w:p>
                            <w:p w14:paraId="2D63D313"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color w:val="000000"/>
                                  <w:sz w:val="20"/>
                                  <w:szCs w:val="20"/>
                                  <w:lang w:eastAsia="tr-TR"/>
                                </w:rPr>
                                <w:t>Türk Gümrük Tarife Cetvelinin 87.03 tarife pozisyonunda yer alan “itfaiye öncü araçları” ÖTV kapsamında değildir.</w:t>
                              </w:r>
                            </w:p>
                            <w:p w14:paraId="69A54E6D"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color w:val="000000"/>
                                  <w:sz w:val="20"/>
                                  <w:szCs w:val="20"/>
                                  <w:lang w:eastAsia="tr-TR"/>
                                </w:rPr>
                                <w:t xml:space="preserve">Kanunun uygulamasında itfaiye öncü aracından maksat, görülebilirliği/seçilirliği fazla olan bir renkle (kırmızı) boyanmış (giydirme değil), ön ve arka tarafına beyaz renk büyük harflerle "itfaiye öncü aracı" ibaresi ile her iki yan tarafına da itfaiye kurumunun acil çağrı telefon numarası ve araç plakası yazılmış (yapıştırma değil), kırmızı renk ışık veren, normal hava şartlarında 150 metreden görülebilen, dönerli, aralıklı yanıp sönen tepe lambalı cihaz (ışıklı uyarı cihazı) ile canavar düdüğü, siren ve çan gibi yine en az 150 metreden duyulabilecek şekilde ses çıkaran cihazların sabitlenmiş olduğu; taşıtlardaki zorunlu yangın tüpü ve ilk yardım malzemeleri dışında, ortalama bir yangına müdahale edilebilir boyutta yangın tüpü ile yangın yaralanmalarında kullanılacak nitelikte tıbbi malzemenin bulunduğu ilk yardım kutusunun sabit bir yerinin olduğu; araç içinde itfaiye öncü hizmetlerinde kullanılacak nitelikte teknik ekipman (kurtarma bıçağı, balyoz ve çekiç, kürek, ağaç testeresi, levye, eğri demir, </w:t>
                              </w:r>
                              <w:proofErr w:type="spellStart"/>
                              <w:r w:rsidRPr="003D4EA5">
                                <w:rPr>
                                  <w:rFonts w:ascii="Verdana" w:eastAsia="Times New Roman" w:hAnsi="Verdana" w:cs="Times New Roman"/>
                                  <w:color w:val="000000"/>
                                  <w:sz w:val="20"/>
                                  <w:szCs w:val="20"/>
                                  <w:lang w:eastAsia="tr-TR"/>
                                </w:rPr>
                                <w:t>spanfix</w:t>
                              </w:r>
                              <w:proofErr w:type="spellEnd"/>
                              <w:r w:rsidRPr="003D4EA5">
                                <w:rPr>
                                  <w:rFonts w:ascii="Verdana" w:eastAsia="Times New Roman" w:hAnsi="Verdana" w:cs="Times New Roman"/>
                                  <w:color w:val="000000"/>
                                  <w:sz w:val="20"/>
                                  <w:szCs w:val="20"/>
                                  <w:lang w:eastAsia="tr-TR"/>
                                </w:rPr>
                                <w:t xml:space="preserve"> germe kayışı, kesme makasları, kazma, balta, manivela gibi) ile donatılmış olan taşıtlardır.”</w:t>
                              </w:r>
                            </w:p>
                            <w:p w14:paraId="05BE933A"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b/>
                                  <w:bCs/>
                                  <w:color w:val="000000"/>
                                  <w:sz w:val="18"/>
                                  <w:szCs w:val="18"/>
                                  <w:lang w:eastAsia="tr-TR"/>
                                </w:rPr>
                                <w:t>MADDE 6- </w:t>
                              </w:r>
                              <w:r w:rsidRPr="003D4EA5">
                                <w:rPr>
                                  <w:rFonts w:ascii="Verdana" w:eastAsia="Times New Roman" w:hAnsi="Verdana" w:cs="Times New Roman"/>
                                  <w:color w:val="000000"/>
                                  <w:sz w:val="18"/>
                                  <w:szCs w:val="18"/>
                                  <w:lang w:eastAsia="tr-TR"/>
                                </w:rPr>
                                <w:t>Aynı Tebliğin EK 1’i ekteki şekliyle değiştirilmiştir.</w:t>
                              </w:r>
                            </w:p>
                            <w:p w14:paraId="7B22D38F"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b/>
                                  <w:bCs/>
                                  <w:color w:val="000000"/>
                                  <w:sz w:val="18"/>
                                  <w:szCs w:val="18"/>
                                  <w:lang w:eastAsia="tr-TR"/>
                                </w:rPr>
                                <w:t>MADDE 7- </w:t>
                              </w:r>
                              <w:r w:rsidRPr="003D4EA5">
                                <w:rPr>
                                  <w:rFonts w:ascii="Verdana" w:eastAsia="Times New Roman" w:hAnsi="Verdana" w:cs="Times New Roman"/>
                                  <w:color w:val="000000"/>
                                  <w:sz w:val="18"/>
                                  <w:szCs w:val="18"/>
                                  <w:lang w:eastAsia="tr-TR"/>
                                </w:rPr>
                                <w:t>Bu Tebliğ yayımı tarihinde yürürlüğe girer.</w:t>
                              </w:r>
                            </w:p>
                            <w:p w14:paraId="021B1DB3"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b/>
                                  <w:bCs/>
                                  <w:color w:val="000000"/>
                                  <w:sz w:val="18"/>
                                  <w:szCs w:val="18"/>
                                  <w:lang w:eastAsia="tr-TR"/>
                                </w:rPr>
                                <w:t>MADDE 8- </w:t>
                              </w:r>
                              <w:r w:rsidRPr="003D4EA5">
                                <w:rPr>
                                  <w:rFonts w:ascii="Verdana" w:eastAsia="Times New Roman" w:hAnsi="Verdana" w:cs="Times New Roman"/>
                                  <w:color w:val="000000"/>
                                  <w:sz w:val="18"/>
                                  <w:szCs w:val="18"/>
                                  <w:lang w:eastAsia="tr-TR"/>
                                </w:rPr>
                                <w:t>Bu Tebliğ hükümlerini Hazine ve Maliye Bakanı yürütür.  </w:t>
                              </w:r>
                            </w:p>
                            <w:p w14:paraId="654EFC2B" w14:textId="77777777" w:rsidR="007B5E50" w:rsidRPr="003D4EA5" w:rsidRDefault="007B5E50" w:rsidP="007B5E50">
                              <w:pPr>
                                <w:spacing w:after="0" w:line="240" w:lineRule="atLeast"/>
                                <w:ind w:firstLine="566"/>
                                <w:jc w:val="both"/>
                                <w:rPr>
                                  <w:rFonts w:ascii="Times New Roman" w:eastAsia="Times New Roman" w:hAnsi="Times New Roman" w:cs="Times New Roman"/>
                                  <w:color w:val="000000"/>
                                  <w:sz w:val="19"/>
                                  <w:szCs w:val="19"/>
                                  <w:lang w:eastAsia="tr-TR"/>
                                </w:rPr>
                              </w:pPr>
                              <w:r w:rsidRPr="003D4EA5">
                                <w:rPr>
                                  <w:rFonts w:ascii="Verdana" w:eastAsia="Times New Roman" w:hAnsi="Verdana" w:cs="Times New Roman"/>
                                  <w:color w:val="000000"/>
                                  <w:sz w:val="20"/>
                                  <w:szCs w:val="20"/>
                                  <w:lang w:eastAsia="tr-TR"/>
                                </w:rPr>
                                <w:t> </w:t>
                              </w:r>
                            </w:p>
                            <w:p w14:paraId="222CFAE8" w14:textId="77777777" w:rsidR="007B5E50" w:rsidRPr="003D4EA5" w:rsidRDefault="00D92B3A" w:rsidP="007B5E50">
                              <w:pPr>
                                <w:spacing w:after="0" w:line="240" w:lineRule="atLeast"/>
                                <w:jc w:val="both"/>
                                <w:rPr>
                                  <w:rFonts w:ascii="Times New Roman" w:eastAsia="Times New Roman" w:hAnsi="Times New Roman" w:cs="Times New Roman"/>
                                  <w:color w:val="000000"/>
                                  <w:sz w:val="19"/>
                                  <w:szCs w:val="19"/>
                                  <w:lang w:eastAsia="tr-TR"/>
                                </w:rPr>
                              </w:pPr>
                              <w:hyperlink r:id="rId4" w:history="1">
                                <w:r w:rsidR="007B5E50" w:rsidRPr="003D4EA5">
                                  <w:rPr>
                                    <w:rFonts w:ascii="Verdana" w:eastAsia="Times New Roman" w:hAnsi="Verdana" w:cs="Times New Roman"/>
                                    <w:b/>
                                    <w:bCs/>
                                    <w:color w:val="0000FF"/>
                                    <w:sz w:val="20"/>
                                    <w:szCs w:val="20"/>
                                    <w:lang w:eastAsia="tr-TR"/>
                                  </w:rPr>
                                  <w:t>Eki için tıklayınız</w:t>
                                </w:r>
                              </w:hyperlink>
                            </w:p>
                          </w:tc>
                        </w:tr>
                      </w:tbl>
                      <w:p w14:paraId="18B1F51B" w14:textId="77777777" w:rsidR="007B5E50" w:rsidRPr="003D4EA5" w:rsidRDefault="007B5E50" w:rsidP="007B5E50">
                        <w:pPr>
                          <w:spacing w:after="0" w:line="240" w:lineRule="auto"/>
                          <w:rPr>
                            <w:rFonts w:ascii="Verdana" w:eastAsia="Times New Roman" w:hAnsi="Verdana" w:cs="Times New Roman"/>
                            <w:color w:val="FFFFFF"/>
                            <w:sz w:val="18"/>
                            <w:szCs w:val="18"/>
                            <w:lang w:eastAsia="tr-TR"/>
                          </w:rPr>
                        </w:pPr>
                      </w:p>
                    </w:tc>
                  </w:tr>
                  <w:tr w:rsidR="007B5E50" w:rsidRPr="003D4EA5" w14:paraId="0F21FA5A" w14:textId="77777777">
                    <w:trPr>
                      <w:trHeight w:val="180"/>
                      <w:tblCellSpacing w:w="0" w:type="dxa"/>
                      <w:hidden/>
                    </w:trPr>
                    <w:tc>
                      <w:tcPr>
                        <w:tcW w:w="0" w:type="auto"/>
                        <w:shd w:val="clear" w:color="auto" w:fill="104E83"/>
                        <w:hideMark/>
                      </w:tcPr>
                      <w:p w14:paraId="7F12CBD1" w14:textId="77777777" w:rsidR="007B5E50" w:rsidRPr="003D4EA5" w:rsidRDefault="007B5E50" w:rsidP="007B5E50">
                        <w:pPr>
                          <w:spacing w:after="0" w:line="240" w:lineRule="auto"/>
                          <w:rPr>
                            <w:rFonts w:ascii="Verdana" w:eastAsia="Times New Roman" w:hAnsi="Verdana" w:cs="Times New Roman"/>
                            <w:vanish/>
                            <w:color w:val="FFFFFF"/>
                            <w:sz w:val="18"/>
                            <w:szCs w:val="18"/>
                            <w:lang w:eastAsia="tr-TR"/>
                          </w:rPr>
                        </w:pPr>
                        <w:r w:rsidRPr="003D4EA5">
                          <w:rPr>
                            <w:rFonts w:ascii="Verdana" w:eastAsia="Times New Roman" w:hAnsi="Verdana" w:cs="Times New Roman"/>
                            <w:vanish/>
                            <w:color w:val="FFFFFF"/>
                            <w:sz w:val="18"/>
                            <w:szCs w:val="18"/>
                          </w:rPr>
                          <w:object w:dxaOrig="1440" w:dyaOrig="1440" w14:anchorId="5F8CC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5" o:title=""/>
                            </v:shape>
                            <w:control r:id="rId6" w:name="DefaultOcxName" w:shapeid="_x0000_i1034"/>
                          </w:object>
                        </w:r>
                        <w:r w:rsidRPr="003D4EA5">
                          <w:rPr>
                            <w:rFonts w:ascii="Verdana" w:eastAsia="Times New Roman" w:hAnsi="Verdana" w:cs="Times New Roman"/>
                            <w:vanish/>
                            <w:color w:val="FFFFFF"/>
                            <w:sz w:val="18"/>
                            <w:szCs w:val="18"/>
                            <w:lang w:eastAsia="tr-TR"/>
                          </w:rPr>
                          <w:t>  İlgili Mevzuatları Göster</w:t>
                        </w:r>
                      </w:p>
                    </w:tc>
                  </w:tr>
                  <w:tr w:rsidR="007B5E50" w:rsidRPr="003D4EA5" w14:paraId="20F521AB" w14:textId="77777777">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7B5E50" w:rsidRPr="003D4EA5" w14:paraId="573D7DE4" w14:textId="77777777">
                          <w:trPr>
                            <w:hidden/>
                          </w:trPr>
                          <w:tc>
                            <w:tcPr>
                              <w:tcW w:w="0" w:type="auto"/>
                              <w:vAlign w:val="center"/>
                              <w:hideMark/>
                            </w:tcPr>
                            <w:p w14:paraId="258E180D" w14:textId="77777777" w:rsidR="007B5E50" w:rsidRPr="003D4EA5" w:rsidRDefault="007B5E50" w:rsidP="007B5E50">
                              <w:pPr>
                                <w:spacing w:after="0" w:line="240" w:lineRule="auto"/>
                                <w:rPr>
                                  <w:rFonts w:ascii="Verdana" w:eastAsia="Times New Roman" w:hAnsi="Verdana" w:cs="Times New Roman"/>
                                  <w:vanish/>
                                  <w:color w:val="FFFFFF"/>
                                  <w:sz w:val="18"/>
                                  <w:szCs w:val="18"/>
                                  <w:lang w:eastAsia="tr-TR"/>
                                </w:rPr>
                              </w:pPr>
                            </w:p>
                          </w:tc>
                        </w:tr>
                      </w:tbl>
                      <w:p w14:paraId="6D13857E" w14:textId="77777777" w:rsidR="007B5E50" w:rsidRPr="003D4EA5" w:rsidRDefault="007B5E50" w:rsidP="007B5E50">
                        <w:pPr>
                          <w:spacing w:after="0" w:line="240" w:lineRule="auto"/>
                          <w:rPr>
                            <w:rFonts w:ascii="Verdana" w:eastAsia="Times New Roman" w:hAnsi="Verdana" w:cs="Times New Roman"/>
                            <w:vanish/>
                            <w:color w:val="7AA6D3"/>
                            <w:sz w:val="18"/>
                            <w:szCs w:val="18"/>
                            <w:lang w:eastAsia="tr-TR"/>
                          </w:rPr>
                        </w:pPr>
                      </w:p>
                    </w:tc>
                  </w:tr>
                  <w:tr w:rsidR="007B5E50" w:rsidRPr="003D4EA5" w14:paraId="25F8986C" w14:textId="77777777">
                    <w:trPr>
                      <w:trHeight w:val="180"/>
                      <w:tblCellSpacing w:w="0" w:type="dxa"/>
                      <w:hidden/>
                    </w:trPr>
                    <w:tc>
                      <w:tcPr>
                        <w:tcW w:w="0" w:type="auto"/>
                        <w:shd w:val="clear" w:color="auto" w:fill="104E83"/>
                        <w:hideMark/>
                      </w:tcPr>
                      <w:p w14:paraId="7719705D" w14:textId="77777777" w:rsidR="007B5E50" w:rsidRPr="003D4EA5" w:rsidRDefault="007B5E50" w:rsidP="007B5E50">
                        <w:pPr>
                          <w:spacing w:after="0" w:line="240" w:lineRule="auto"/>
                          <w:rPr>
                            <w:rFonts w:ascii="Verdana" w:eastAsia="Times New Roman" w:hAnsi="Verdana" w:cs="Times New Roman"/>
                            <w:vanish/>
                            <w:color w:val="FFFFFF"/>
                            <w:sz w:val="18"/>
                            <w:szCs w:val="18"/>
                            <w:lang w:eastAsia="tr-TR"/>
                          </w:rPr>
                        </w:pPr>
                        <w:r w:rsidRPr="003D4EA5">
                          <w:rPr>
                            <w:rFonts w:ascii="Verdana" w:eastAsia="Times New Roman" w:hAnsi="Verdana" w:cs="Times New Roman"/>
                            <w:vanish/>
                            <w:color w:val="FFFFFF"/>
                            <w:sz w:val="18"/>
                            <w:szCs w:val="18"/>
                          </w:rPr>
                          <w:object w:dxaOrig="1440" w:dyaOrig="1440" w14:anchorId="37BEB723">
                            <v:shape id="_x0000_i1037" type="#_x0000_t75" style="width:20.25pt;height:18pt" o:ole="">
                              <v:imagedata r:id="rId5" o:title=""/>
                            </v:shape>
                            <w:control r:id="rId7" w:name="DefaultOcxName1" w:shapeid="_x0000_i1037"/>
                          </w:object>
                        </w:r>
                        <w:r w:rsidRPr="003D4EA5">
                          <w:rPr>
                            <w:rFonts w:ascii="Verdana" w:eastAsia="Times New Roman" w:hAnsi="Verdana" w:cs="Times New Roman"/>
                            <w:vanish/>
                            <w:color w:val="FFFFFF"/>
                            <w:sz w:val="18"/>
                            <w:szCs w:val="18"/>
                            <w:lang w:eastAsia="tr-TR"/>
                          </w:rPr>
                          <w:t>Bu Mevzuatın Yürürlükten Kaldırdığı/Değiştirdiği Mevzuatları Göster</w:t>
                        </w:r>
                      </w:p>
                    </w:tc>
                  </w:tr>
                  <w:tr w:rsidR="007B5E50" w:rsidRPr="003D4EA5" w14:paraId="47F15F63" w14:textId="77777777">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7B5E50" w:rsidRPr="003D4EA5" w14:paraId="0128EC4F" w14:textId="77777777">
                          <w:trPr>
                            <w:hidden/>
                          </w:trPr>
                          <w:tc>
                            <w:tcPr>
                              <w:tcW w:w="0" w:type="auto"/>
                              <w:vAlign w:val="center"/>
                              <w:hideMark/>
                            </w:tcPr>
                            <w:p w14:paraId="4CFC2BCB" w14:textId="77777777" w:rsidR="007B5E50" w:rsidRPr="003D4EA5" w:rsidRDefault="007B5E50" w:rsidP="007B5E50">
                              <w:pPr>
                                <w:spacing w:after="0" w:line="240" w:lineRule="auto"/>
                                <w:rPr>
                                  <w:rFonts w:ascii="Verdana" w:eastAsia="Times New Roman" w:hAnsi="Verdana" w:cs="Times New Roman"/>
                                  <w:vanish/>
                                  <w:color w:val="FFFFFF"/>
                                  <w:sz w:val="18"/>
                                  <w:szCs w:val="18"/>
                                  <w:lang w:eastAsia="tr-TR"/>
                                </w:rPr>
                              </w:pPr>
                            </w:p>
                          </w:tc>
                        </w:tr>
                      </w:tbl>
                      <w:p w14:paraId="19FE32D9" w14:textId="77777777" w:rsidR="007B5E50" w:rsidRPr="003D4EA5" w:rsidRDefault="007B5E50" w:rsidP="007B5E50">
                        <w:pPr>
                          <w:spacing w:after="0" w:line="240" w:lineRule="auto"/>
                          <w:rPr>
                            <w:rFonts w:ascii="Verdana" w:eastAsia="Times New Roman" w:hAnsi="Verdana" w:cs="Times New Roman"/>
                            <w:vanish/>
                            <w:color w:val="7AA6D3"/>
                            <w:sz w:val="18"/>
                            <w:szCs w:val="18"/>
                            <w:lang w:eastAsia="tr-TR"/>
                          </w:rPr>
                        </w:pPr>
                      </w:p>
                    </w:tc>
                  </w:tr>
                </w:tbl>
                <w:p w14:paraId="11E532EB" w14:textId="77777777" w:rsidR="007B5E50" w:rsidRPr="003D4EA5" w:rsidRDefault="007B5E50" w:rsidP="007B5E50">
                  <w:pPr>
                    <w:spacing w:after="0" w:line="240" w:lineRule="auto"/>
                    <w:rPr>
                      <w:rFonts w:ascii="Times New Roman" w:eastAsia="Times New Roman" w:hAnsi="Times New Roman" w:cs="Times New Roman"/>
                      <w:sz w:val="24"/>
                      <w:szCs w:val="24"/>
                      <w:lang w:eastAsia="tr-TR"/>
                    </w:rPr>
                  </w:pPr>
                </w:p>
              </w:tc>
            </w:tr>
          </w:tbl>
          <w:p w14:paraId="2C689564" w14:textId="77777777" w:rsidR="007B5E50" w:rsidRPr="003D4EA5" w:rsidRDefault="007B5E50" w:rsidP="007B5E50">
            <w:pPr>
              <w:spacing w:after="0" w:line="240" w:lineRule="auto"/>
              <w:rPr>
                <w:rFonts w:ascii="Times New Roman" w:eastAsia="Times New Roman" w:hAnsi="Times New Roman" w:cs="Times New Roman"/>
                <w:sz w:val="24"/>
                <w:szCs w:val="24"/>
                <w:lang w:eastAsia="tr-TR"/>
              </w:rPr>
            </w:pPr>
          </w:p>
        </w:tc>
      </w:tr>
    </w:tbl>
    <w:p w14:paraId="503B1608" w14:textId="77777777" w:rsidR="007B5E50" w:rsidRPr="003D4EA5" w:rsidRDefault="007B5E50" w:rsidP="007B5E50">
      <w:pPr>
        <w:spacing w:after="0" w:line="240" w:lineRule="auto"/>
        <w:rPr>
          <w:rFonts w:ascii="Times New Roman" w:eastAsia="Times New Roman" w:hAnsi="Times New Roman" w:cs="Times New Roman"/>
          <w:sz w:val="24"/>
          <w:szCs w:val="24"/>
          <w:lang w:eastAsia="tr-TR"/>
        </w:rPr>
      </w:pPr>
      <w:r w:rsidRPr="003D4EA5">
        <w:rPr>
          <w:rFonts w:ascii="Times New Roman" w:eastAsia="Times New Roman" w:hAnsi="Times New Roman" w:cs="Times New Roman"/>
          <w:sz w:val="24"/>
          <w:szCs w:val="24"/>
          <w:lang w:eastAsia="tr-TR"/>
        </w:rPr>
        <w:t xml:space="preserve">    </w:t>
      </w:r>
    </w:p>
    <w:p w14:paraId="05C915C3" w14:textId="77777777" w:rsidR="007B5E50" w:rsidRPr="007B5E50" w:rsidRDefault="007B5E50" w:rsidP="007B5E50">
      <w:pPr>
        <w:spacing w:after="0" w:line="240" w:lineRule="auto"/>
        <w:rPr>
          <w:rFonts w:ascii="Times New Roman" w:eastAsia="Times New Roman" w:hAnsi="Times New Roman" w:cs="Times New Roman"/>
          <w:vanish/>
          <w:sz w:val="24"/>
          <w:szCs w:val="24"/>
          <w:lang w:eastAsia="tr-TR"/>
        </w:rPr>
      </w:pPr>
      <w:r w:rsidRPr="003D4EA5">
        <w:rPr>
          <w:rFonts w:ascii="Times New Roman" w:eastAsia="Times New Roman" w:hAnsi="Times New Roman" w:cs="Times New Roman"/>
          <w:vanish/>
          <w:sz w:val="24"/>
          <w:szCs w:val="24"/>
        </w:rPr>
        <w:object w:dxaOrig="1440" w:dyaOrig="1440" w14:anchorId="2A8498E0">
          <v:shape id="_x0000_i1040" type="#_x0000_t75" style="width:36pt;height:22.5pt" o:ole="">
            <v:imagedata r:id="rId8" o:title=""/>
          </v:shape>
          <w:control r:id="rId9" w:name="DefaultOcxName2" w:shapeid="_x0000_i1040"/>
        </w:object>
      </w:r>
      <w:r w:rsidRPr="003D4EA5">
        <w:rPr>
          <w:rFonts w:ascii="Times New Roman" w:eastAsia="Times New Roman" w:hAnsi="Times New Roman" w:cs="Times New Roman"/>
          <w:vanish/>
          <w:sz w:val="24"/>
          <w:szCs w:val="24"/>
        </w:rPr>
        <w:object w:dxaOrig="1440" w:dyaOrig="1440" w14:anchorId="3BE99714">
          <v:shape id="_x0000_i1044" type="#_x0000_t75" style="width:60.75pt;height:18pt" o:ole="">
            <v:imagedata r:id="rId10" o:title=""/>
          </v:shape>
          <w:control r:id="rId11" w:name="DefaultOcxName3" w:shapeid="_x0000_i1044"/>
        </w:object>
      </w:r>
    </w:p>
    <w:p w14:paraId="0E54A00D" w14:textId="77777777" w:rsidR="007B5E50" w:rsidRDefault="007B5E50" w:rsidP="007B5E50"/>
    <w:sectPr w:rsidR="007B5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58"/>
    <w:rsid w:val="00221918"/>
    <w:rsid w:val="003D4EA5"/>
    <w:rsid w:val="00742007"/>
    <w:rsid w:val="007B5E50"/>
    <w:rsid w:val="00C42258"/>
    <w:rsid w:val="00D92B3A"/>
    <w:rsid w:val="00DD3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4AA2D4"/>
  <w15:chartTrackingRefBased/>
  <w15:docId w15:val="{368F8AD5-C531-4FC7-8C77-7B4EDBD8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B5E50"/>
    <w:rPr>
      <w:rFonts w:ascii="Verdana" w:hAnsi="Verdana" w:hint="default"/>
      <w:b/>
      <w:bCs/>
      <w:strike w:val="0"/>
      <w:dstrike w:val="0"/>
      <w:color w:val="104E83"/>
      <w:u w:val="none"/>
      <w:effect w:val="none"/>
    </w:rPr>
  </w:style>
  <w:style w:type="paragraph" w:customStyle="1" w:styleId="balk11pt">
    <w:name w:val="balk11pt"/>
    <w:basedOn w:val="Normal"/>
    <w:rsid w:val="007B5E50"/>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ortabalkbold">
    <w:name w:val="ortabalkbold"/>
    <w:basedOn w:val="Normal"/>
    <w:rsid w:val="007B5E50"/>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
    <w:name w:val="metin"/>
    <w:basedOn w:val="Normal"/>
    <w:rsid w:val="007B5E50"/>
    <w:pPr>
      <w:spacing w:before="100" w:beforeAutospacing="1" w:after="100" w:afterAutospacing="1" w:line="240" w:lineRule="auto"/>
    </w:pPr>
    <w:rPr>
      <w:rFonts w:ascii="Verdana" w:eastAsia="Times New Roman" w:hAnsi="Verdana" w:cs="Times New Roman"/>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682">
      <w:bodyDiv w:val="1"/>
      <w:marLeft w:val="0"/>
      <w:marRight w:val="0"/>
      <w:marTop w:val="0"/>
      <w:marBottom w:val="0"/>
      <w:divBdr>
        <w:top w:val="none" w:sz="0" w:space="0" w:color="auto"/>
        <w:left w:val="none" w:sz="0" w:space="0" w:color="auto"/>
        <w:bottom w:val="none" w:sz="0" w:space="0" w:color="auto"/>
        <w:right w:val="none" w:sz="0" w:space="0" w:color="auto"/>
      </w:divBdr>
      <w:divsChild>
        <w:div w:id="74502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hyperlink" Target="https://www.resmigazete.gov.tr/eskiler/2022/07/20220726-14-1.pdf"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596</Words>
  <Characters>3402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YILDIZ  KARTAL</cp:lastModifiedBy>
  <cp:revision>4</cp:revision>
  <dcterms:created xsi:type="dcterms:W3CDTF">2022-07-26T06:18:00Z</dcterms:created>
  <dcterms:modified xsi:type="dcterms:W3CDTF">2022-07-26T06:36:00Z</dcterms:modified>
</cp:coreProperties>
</file>